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color w:val="0A0B16"/>
          <w:sz w:val="21"/>
          <w:szCs w:val="21"/>
        </w:rPr>
      </w:pPr>
      <w:r>
        <w:rPr>
          <w:rFonts w:cs="Times New Roman" w:ascii="Times New Roman" w:hAnsi="Times New Roman"/>
          <w:color w:val="0A0B16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A0B16"/>
          <w:sz w:val="28"/>
          <w:szCs w:val="28"/>
        </w:rPr>
        <w:t>Zakres wymagań edukacyjnych z biologii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A0B16"/>
          <w:sz w:val="28"/>
          <w:szCs w:val="28"/>
        </w:rPr>
      </w:pPr>
      <w:r>
        <w:rPr>
          <w:rFonts w:cs="Times New Roman" w:ascii="Times New Roman" w:hAnsi="Times New Roman"/>
          <w:b/>
          <w:color w:val="0A0B16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A0B16"/>
          <w:sz w:val="28"/>
          <w:szCs w:val="28"/>
        </w:rPr>
      </w:pPr>
      <w:r>
        <w:rPr>
          <w:rFonts w:cs="Times New Roman" w:ascii="Times New Roman" w:hAnsi="Times New Roman"/>
          <w:b/>
          <w:color w:val="0A0B16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A0B16"/>
          <w:sz w:val="21"/>
          <w:szCs w:val="21"/>
        </w:rPr>
      </w:pPr>
      <w:r>
        <w:rPr>
          <w:rFonts w:cs="Times New Roman" w:ascii="Times New Roman" w:hAnsi="Times New Roman"/>
          <w:color w:val="0A0B16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color w:val="0A0B16"/>
          <w:sz w:val="24"/>
          <w:szCs w:val="24"/>
        </w:rPr>
      </w:pPr>
      <w:r>
        <w:rPr>
          <w:rFonts w:cs="Times New Roman" w:ascii="Times New Roman" w:hAnsi="Times New Roman"/>
          <w:color w:val="0A0B16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/>
          <w:bCs/>
          <w:color w:val="0A0B16"/>
          <w:sz w:val="24"/>
          <w:szCs w:val="24"/>
        </w:rPr>
        <w:t>Ocenę dopuszczającą</w:t>
      </w:r>
      <w:r>
        <w:rPr>
          <w:rFonts w:cs="Times New Roman"/>
          <w:bCs/>
          <w:color w:val="0A0B16"/>
          <w:sz w:val="24"/>
          <w:szCs w:val="24"/>
        </w:rPr>
        <w:t xml:space="preserve"> </w:t>
      </w:r>
      <w:r>
        <w:rPr>
          <w:rFonts w:cs="Times New Roman"/>
          <w:color w:val="0A0B16"/>
          <w:sz w:val="24"/>
          <w:szCs w:val="24"/>
        </w:rPr>
        <w:t>otrzymuje uczeń, który bardzo słabo opanował wymagane wiadomości i umiejętności, lecz braki te nie przekreślają możliwości kontynuowania nauki w klasie wyższej. Uczeń przyswoił treści konieczne, z pomocą nauczyciela jest w stanie nadrobić braki w podstawowych umiejętnościach.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cs="Times New Roman"/>
          <w:color w:val="0A0B16"/>
        </w:rPr>
      </w:pPr>
      <w:r>
        <w:rPr>
          <w:rFonts w:cs="Times New Roman"/>
          <w:color w:val="0A0B1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/>
          <w:bCs/>
          <w:color w:val="0A0B16"/>
          <w:sz w:val="24"/>
          <w:szCs w:val="24"/>
        </w:rPr>
        <w:t>Ocenę dostateczną</w:t>
      </w:r>
      <w:r>
        <w:rPr>
          <w:rFonts w:cs="Times New Roman"/>
          <w:bCs/>
          <w:color w:val="0A0B16"/>
          <w:sz w:val="24"/>
          <w:szCs w:val="24"/>
        </w:rPr>
        <w:t xml:space="preserve"> </w:t>
      </w:r>
      <w:r>
        <w:rPr>
          <w:rFonts w:cs="Times New Roman"/>
          <w:color w:val="0A0B16"/>
          <w:sz w:val="24"/>
          <w:szCs w:val="24"/>
        </w:rPr>
        <w:t>otrzymuje uczeń, który wymagane wiadomości i umiejętności opanował co najmniej w 51%. Jego wiedza i umiejętności świadczą o pracy głównie odtwórczej. Dopuszczalne są drobne błędy merytoryczne drugorzędne, które jednak nie kwestionują dobrego zrozumienia i poprawnego opanowania wiedzy i umiejętności koniecznych oraz podstawowych. Uczeń a</w:t>
      </w:r>
      <w:r>
        <w:rPr>
          <w:rFonts w:eastAsia="CenturySchoolbookPL-Roman" w:cs="Times New Roman"/>
          <w:sz w:val="24"/>
          <w:szCs w:val="24"/>
        </w:rPr>
        <w:t>nalizuje proste zależności, a także próbuje porównywać, wnioskować i zajmować określone stanowisko.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eastAsia="CenturySchoolbookPL-Roman" w:cs="Times New Roman"/>
          <w:color w:val="0A0B16"/>
        </w:rPr>
      </w:pPr>
      <w:r>
        <w:rPr>
          <w:rFonts w:eastAsia="CenturySchoolbookPL-Roman" w:cs="Times New Roman"/>
          <w:color w:val="0A0B1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/>
          <w:bCs/>
          <w:color w:val="0A0B16"/>
          <w:sz w:val="24"/>
          <w:szCs w:val="24"/>
        </w:rPr>
        <w:t>Ocenę dobrą</w:t>
      </w:r>
      <w:r>
        <w:rPr>
          <w:rFonts w:cs="Times New Roman"/>
          <w:bCs/>
          <w:color w:val="0A0B16"/>
          <w:sz w:val="24"/>
          <w:szCs w:val="24"/>
        </w:rPr>
        <w:t xml:space="preserve"> </w:t>
      </w:r>
      <w:r>
        <w:rPr>
          <w:rFonts w:cs="Times New Roman"/>
          <w:color w:val="0A0B16"/>
          <w:sz w:val="24"/>
          <w:szCs w:val="24"/>
        </w:rPr>
        <w:t>otrzymuje uczeń, który opanował wymagane wiadomości i umiejętności co najmniej w 76%. Wykazuje dość dużą swobodę w rozumieniu i posługiwaniu się językiem biologicznym, aktywnie uczestniczy w lekcji. Samodzielnie stara się rozszerzyć swoje wiadomości korzystając z innych materiałów i pomocy dydaktycznych – stara się przy tym dostrzegać i wykazywać wzajemne zależności i powiązania. Szuka praktycznych przykładów zastosowania zdobytych informacji.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cs="Times New Roman"/>
          <w:color w:val="0A0B16"/>
        </w:rPr>
      </w:pPr>
      <w:r>
        <w:rPr>
          <w:rFonts w:cs="Times New Roman"/>
          <w:color w:val="0A0B1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/>
          <w:bCs/>
          <w:color w:val="0A0B16"/>
          <w:sz w:val="24"/>
          <w:szCs w:val="24"/>
        </w:rPr>
        <w:t>Ocenę bardzo dobrą</w:t>
      </w:r>
      <w:r>
        <w:rPr>
          <w:rFonts w:cs="Times New Roman"/>
          <w:bCs/>
          <w:color w:val="0A0B16"/>
          <w:sz w:val="24"/>
          <w:szCs w:val="24"/>
        </w:rPr>
        <w:t xml:space="preserve"> </w:t>
      </w:r>
      <w:r>
        <w:rPr>
          <w:rFonts w:cs="Times New Roman"/>
          <w:color w:val="0A0B16"/>
          <w:sz w:val="24"/>
          <w:szCs w:val="24"/>
        </w:rPr>
        <w:t>otrzymuje uczeń, który w pełni opanował wymagane wiadomości i umiejętności. Wykazuje się dużą samodzielnością w pracy, jest bardzo aktywny na lekcji, stara się uzupełnić i poszerzyć zdobytą wiedzę i umiejętności. Jego wypowiedzi są merytorycznie bezbłędne, wnikliwe, świadczące o dobrym rozumieniu związków przyczynowo – skutkowych. Zwraca uwagę na uogólnienia, powiązania interdyscyplinarne i praktyczne znaczenie i wykorzystanie wiedzy.</w:t>
      </w:r>
      <w:r>
        <w:rPr>
          <w:rFonts w:eastAsia="CenturySchoolbookPL-Roman" w:cs="Times New Roman"/>
          <w:sz w:val="24"/>
          <w:szCs w:val="24"/>
        </w:rPr>
        <w:t xml:space="preserve"> Potrafi on samodzielnie interpretować zjawiska oraz bronić swych poglądów.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eastAsia="CenturySchoolbookPL-Roman" w:cs="Times New Roman"/>
          <w:color w:val="0A0B16"/>
        </w:rPr>
      </w:pPr>
      <w:r>
        <w:rPr>
          <w:rFonts w:eastAsia="CenturySchoolbookPL-Roman" w:cs="Times New Roman"/>
          <w:color w:val="0A0B1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A0B16"/>
          <w:sz w:val="24"/>
          <w:szCs w:val="24"/>
        </w:rPr>
      </w:pPr>
      <w:r>
        <w:rPr>
          <w:rFonts w:cs="Times New Roman"/>
          <w:color w:val="0A0B16"/>
          <w:sz w:val="24"/>
          <w:szCs w:val="24"/>
        </w:rPr>
        <w:t>Na szczególne wyróżnienie (</w:t>
      </w:r>
      <w:r>
        <w:rPr>
          <w:rFonts w:cs="Times New Roman"/>
          <w:b/>
          <w:bCs/>
          <w:color w:val="0A0B16"/>
          <w:sz w:val="24"/>
          <w:szCs w:val="24"/>
        </w:rPr>
        <w:t>ocenę celującą</w:t>
      </w:r>
      <w:r>
        <w:rPr>
          <w:rFonts w:cs="Times New Roman"/>
          <w:color w:val="0A0B16"/>
          <w:sz w:val="24"/>
          <w:szCs w:val="24"/>
        </w:rPr>
        <w:t>) zasługuje uczeń, który posiada wiadomości i umiejętności wyraźnie wykraczające poza określony dla danej klasy program nauczania, twórczo rozwija swoje zainteresowania przyrodnicze. Dba o samokształcenie, posługuje się profesjonalną nomenklaturą biologiczną. Uczeń z powodzeniem bierze udział w konkursach i olimpiadach przedmiotowych.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27dc2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LibreOffice/6.2.0.3$Windows_X86_64 LibreOffice_project/98c6a8a1c6c7b144ce3cc729e34964b47ce25d62</Application>
  <Pages>1</Pages>
  <Words>275</Words>
  <Characters>1901</Characters>
  <CharactersWithSpaces>2167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2013-09-01T13:04:00Z</dcterms:created>
  <dc:creator>Basia</dc:creator>
  <dc:description/>
  <dc:language>pl-PL</dc:language>
  <cp:lastModifiedBy/>
  <dcterms:modified xsi:type="dcterms:W3CDTF">2019-09-10T18:18:01Z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